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60"/>
        <w:jc w:val="center"/>
      </w:pPr>
      <w:r>
        <w:rPr>
          <w:rFonts w:ascii="Arial" w:cs="Arial" w:eastAsia="Arial" w:hAnsi="Arial"/>
          <w:b/>
          <w:bCs/>
          <w:i w:val="false"/>
          <w:iCs w:val="false"/>
          <w:color w:val="1A1A2E"/>
          <w:sz w:val="30"/>
          <w:szCs w:val="30"/>
        </w:rPr>
        <w:t xml:space="preserve">KAYMALI YATAK HESAPLAYICI</w:t>
      </w:r>
    </w:p>
    <w:p>
      <w:pPr>
        <w:pBdr>
          <w:bottom w:val="single" w:color="CCCCCC" w:sz="4" w:space="5"/>
        </w:pBdr>
        <w:spacing w:after="70" w:before="0"/>
        <w:jc w:val="center"/>
      </w:pPr>
      <w:r>
        <w:rPr>
          <w:rFonts w:ascii="Arial" w:cs="Arial" w:eastAsia="Arial" w:hAnsi="Arial"/>
          <w:b w:val="false"/>
          <w:bCs w:val="false"/>
          <w:i/>
          <w:iCs/>
          <w:color w:val="555555"/>
          <w:sz w:val="19"/>
          <w:szCs w:val="19"/>
        </w:rPr>
        <w:t xml:space="preserve">Kullanım Kılavuzu  |  ÖZYİĞİT Mühendislik  |  www.ozyigit.com</w:t>
      </w: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Aracın Amacı</w:t>
      </w:r>
    </w:p>
    <w:p>
      <w:pPr>
        <w:spacing w:after="50" w:before="50" w:line="260" w:lineRule="auto"/>
        <w:jc w:val="both"/>
      </w:pPr>
      <w:r>
        <w:rPr>
          <w:rFonts w:ascii="Arial" w:cs="Arial" w:eastAsia="Arial" w:hAnsi="Arial"/>
          <w:b w:val="false"/>
          <w:bCs w:val="false"/>
          <w:i w:val="false"/>
          <w:iCs w:val="false"/>
          <w:color w:val="333333"/>
          <w:sz w:val="21"/>
          <w:szCs w:val="21"/>
        </w:rPr>
        <w:t xml:space="preserve">Bu interaktif araç; kaymalı yatak tasarımının temel mühendislik parametrelerini hesaplar. Girilen mil çapı, yük, devir ve yağlama bilgilerine göre Sommerfeld sayısı, yağ filmi kalınlığı, yüzey basıncı, PV faktörü, ömür tahmini ve termal denge değerlerini anında üretir. Sonuçlar hem sayısal hem de otomatik tasarım raporu formatında sunulur.</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Ekran Düzeni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800"/>
        <w:gridCol w:w="2000"/>
        <w:gridCol w:w="4800"/>
      </w:tblGrid>
      <w:tr>
        <w:trPr>
          <w:tblHeader/>
        </w:trPr>
        <w:tc>
          <w:tcPr>
            <w:tcW w:type="dxa" w:w="18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Bölüm</w:t>
            </w:r>
          </w:p>
        </w:tc>
        <w:tc>
          <w:tcPr>
            <w:tcW w:type="dxa" w:w="2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Konum</w:t>
            </w:r>
          </w:p>
        </w:tc>
        <w:tc>
          <w:tcPr>
            <w:tcW w:type="dxa" w:w="48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İçerik</w:t>
            </w:r>
          </w:p>
        </w:tc>
      </w:tr>
      <w:tr>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Sol Panel</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Sabit 260 px</w:t>
            </w:r>
          </w:p>
        </w:tc>
        <w:tc>
          <w:tcPr>
            <w:tcW w:type="dxa" w:w="4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Tüm giriş parametreleri + HESAPLA/GÜNCELLE butonu</w:t>
            </w:r>
          </w:p>
        </w:tc>
      </w:tr>
      <w:tr>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İstatistik Çubuğu</w:t>
            </w:r>
          </w:p>
        </w:tc>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Sağ üst, sabit</w:t>
            </w:r>
          </w:p>
        </w:tc>
        <w:tc>
          <w:tcPr>
            <w:tcW w:type="dxa" w:w="4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L/d · Py · PV · Sommerfeld S · c_eff · h_min · Ömür · Genel Karar</w:t>
            </w:r>
          </w:p>
        </w:tc>
      </w:tr>
      <w:tr>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SVG Kesit Çizimi</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Sağ orta</w:t>
            </w:r>
          </w:p>
        </w:tc>
        <w:tc>
          <w:tcPr>
            <w:tcW w:type="dxa" w:w="4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Mil-yatak kesit diyagramı (yağ filmi, boşluk görsel)</w:t>
            </w:r>
          </w:p>
        </w:tc>
      </w:tr>
      <w:tr>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Bilgi Paneli</w:t>
            </w:r>
          </w:p>
        </w:tc>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Sağ orta</w:t>
            </w:r>
          </w:p>
        </w:tc>
        <w:tc>
          <w:tcPr>
            <w:tcW w:type="dxa" w:w="4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Yağlama rejimi, malzeme önerisi, hesap değerleri</w:t>
            </w:r>
          </w:p>
        </w:tc>
      </w:tr>
      <w:tr>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Karar Kutusu</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Sağ alt</w:t>
            </w:r>
          </w:p>
        </w:tc>
        <w:tc>
          <w:tcPr>
            <w:tcW w:type="dxa" w:w="4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 ONAYLANDI / ❌ KRİTER SAĞLANAMADI</w:t>
            </w:r>
          </w:p>
        </w:tc>
      </w:tr>
      <w:tr>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Tasarım Raporu</w:t>
            </w:r>
          </w:p>
        </w:tc>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En alt</w:t>
            </w:r>
          </w:p>
        </w:tc>
        <w:tc>
          <w:tcPr>
            <w:tcW w:type="dxa" w:w="4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Tam hesap özeti metin çıktısı (kopyalanabilir)</w:t>
            </w:r>
          </w:p>
        </w:tc>
      </w:tr>
    </w:tbl>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Giriş Parametreleri</w:t>
      </w:r>
    </w:p>
    <w:p>
      <w:pPr>
        <w:pStyle w:val="Heading2"/>
        <w:spacing w:after="50" w:before="120" w:line="260"/>
      </w:pPr>
      <w:r>
        <w:rPr>
          <w:rFonts w:ascii="Arial" w:cs="Arial" w:eastAsia="Arial" w:hAnsi="Arial"/>
          <w:b/>
          <w:bCs/>
          <w:i w:val="false"/>
          <w:iCs w:val="false"/>
          <w:color w:val="003399"/>
          <w:sz w:val="22"/>
          <w:szCs w:val="22"/>
        </w:rPr>
        <w:t xml:space="preserve">A — Temel Boyutlar</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900"/>
        <w:gridCol w:w="4700"/>
      </w:tblGrid>
      <w:tr>
        <w:trPr>
          <w:tblHeader/>
        </w:trPr>
        <w:tc>
          <w:tcPr>
            <w:tcW w:type="dxa" w:w="1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Sembol</w:t>
            </w:r>
          </w:p>
        </w:tc>
        <w:tc>
          <w:tcPr>
            <w:tcW w:type="dxa" w:w="2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Parametre</w:t>
            </w:r>
          </w:p>
        </w:tc>
        <w:tc>
          <w:tcPr>
            <w:tcW w:type="dxa" w:w="9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Birim</w:t>
            </w:r>
          </w:p>
        </w:tc>
        <w:tc>
          <w:tcPr>
            <w:tcW w:type="dxa" w:w="47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Açıklama</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d</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 Çapı</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mm</w:t>
            </w:r>
          </w:p>
        </w:tc>
        <w:tc>
          <w:tcPr>
            <w:tcW w:type="dxa" w:w="47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Yataklandırılan milin nominal çapı</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L</w:t>
            </w:r>
          </w:p>
        </w:tc>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 Genişliği</w:t>
            </w:r>
          </w:p>
        </w:tc>
        <w:tc>
          <w:tcPr>
            <w:tcW w:type="dxa" w:w="9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mm</w:t>
            </w:r>
          </w:p>
        </w:tc>
        <w:tc>
          <w:tcPr>
            <w:tcW w:type="dxa" w:w="47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Yatağın eksenel uzunluğu</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Tasarım Boşluğu</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mm</w:t>
            </w:r>
          </w:p>
        </w:tc>
        <w:tc>
          <w:tcPr>
            <w:tcW w:type="dxa" w:w="47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 ile yatak arasındaki nominal radyal boşluk (tek taraflı)</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B — Yük ve Dönüş</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900"/>
        <w:gridCol w:w="4700"/>
      </w:tblGrid>
      <w:tr>
        <w:trPr>
          <w:tblHeader/>
        </w:trPr>
        <w:tc>
          <w:tcPr>
            <w:tcW w:type="dxa" w:w="1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Sembol</w:t>
            </w:r>
          </w:p>
        </w:tc>
        <w:tc>
          <w:tcPr>
            <w:tcW w:type="dxa" w:w="2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Parametre</w:t>
            </w:r>
          </w:p>
        </w:tc>
        <w:tc>
          <w:tcPr>
            <w:tcW w:type="dxa" w:w="9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Birim</w:t>
            </w:r>
          </w:p>
        </w:tc>
        <w:tc>
          <w:tcPr>
            <w:tcW w:type="dxa" w:w="47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Açıklama</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F</w:t>
            </w:r>
          </w:p>
        </w:tc>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Radyal Yük</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N</w:t>
            </w:r>
          </w:p>
        </w:tc>
        <w:tc>
          <w:tcPr>
            <w:tcW w:type="dxa" w:w="47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Mili yatağa zorlayan toplam radyal kuvvet</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n</w:t>
            </w:r>
          </w:p>
        </w:tc>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Dönüş Hızı</w:t>
            </w:r>
          </w:p>
        </w:tc>
        <w:tc>
          <w:tcPr>
            <w:tcW w:type="dxa" w:w="9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d/dak</w:t>
            </w:r>
          </w:p>
        </w:tc>
        <w:tc>
          <w:tcPr>
            <w:tcW w:type="dxa" w:w="47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Milin dakikadaki devri</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C — Malzeme ve Yağlama</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000"/>
        <w:gridCol w:w="2200"/>
        <w:gridCol w:w="900"/>
        <w:gridCol w:w="4500"/>
      </w:tblGrid>
      <w:tr>
        <w:trPr>
          <w:tblHeader/>
        </w:trPr>
        <w:tc>
          <w:tcPr>
            <w:tcW w:type="dxa" w:w="1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Sembol</w:t>
            </w:r>
          </w:p>
        </w:tc>
        <w:tc>
          <w:tcPr>
            <w:tcW w:type="dxa" w:w="22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Parametre</w:t>
            </w:r>
          </w:p>
        </w:tc>
        <w:tc>
          <w:tcPr>
            <w:tcW w:type="dxa" w:w="9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Birim</w:t>
            </w:r>
          </w:p>
        </w:tc>
        <w:tc>
          <w:tcPr>
            <w:tcW w:type="dxa" w:w="45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Açıklama</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Pem</w:t>
            </w:r>
          </w:p>
        </w:tc>
        <w:tc>
          <w:tcPr>
            <w:tcW w:type="dxa" w:w="2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İzin. Yüzey Basıncı</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N/mm²</w:t>
            </w:r>
          </w:p>
        </w:tc>
        <w:tc>
          <w:tcPr>
            <w:tcW w:type="dxa" w:w="45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 malzemesi için izin verilen maks. basınç</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PVizin</w:t>
            </w:r>
          </w:p>
        </w:tc>
        <w:tc>
          <w:tcPr>
            <w:tcW w:type="dxa" w:w="2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İzin. Max PV</w:t>
            </w:r>
          </w:p>
        </w:tc>
        <w:tc>
          <w:tcPr>
            <w:tcW w:type="dxa" w:w="9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MPa·m/s</w:t>
            </w:r>
          </w:p>
        </w:tc>
        <w:tc>
          <w:tcPr>
            <w:tcW w:type="dxa" w:w="45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İzin verilen maksimum yüzey basıncı × hız çarpımı</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η</w:t>
            </w:r>
          </w:p>
        </w:tc>
        <w:tc>
          <w:tcPr>
            <w:tcW w:type="dxa" w:w="2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Dinamik Viskozite</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Pa·s</w:t>
            </w:r>
          </w:p>
        </w:tc>
        <w:tc>
          <w:tcPr>
            <w:tcW w:type="dxa" w:w="45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Yağlayıcı maddenin viskozitesi (0 → kuru çalışma)</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Tgiriş</w:t>
            </w:r>
          </w:p>
        </w:tc>
        <w:tc>
          <w:tcPr>
            <w:tcW w:type="dxa" w:w="2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 Giriş Sıcaklığı</w:t>
            </w:r>
          </w:p>
        </w:tc>
        <w:tc>
          <w:tcPr>
            <w:tcW w:type="dxa" w:w="9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w:t>
            </w:r>
          </w:p>
        </w:tc>
        <w:tc>
          <w:tcPr>
            <w:tcW w:type="dxa" w:w="45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Yağlayıcının giriş sıcaklığı</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Tçevre</w:t>
            </w:r>
          </w:p>
        </w:tc>
        <w:tc>
          <w:tcPr>
            <w:tcW w:type="dxa" w:w="2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Ortam Sıcaklığı</w:t>
            </w:r>
          </w:p>
        </w:tc>
        <w:tc>
          <w:tcPr>
            <w:tcW w:type="dxa" w:w="9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w:t>
            </w:r>
          </w:p>
        </w:tc>
        <w:tc>
          <w:tcPr>
            <w:tcW w:type="dxa" w:w="45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Çevre hava sıcaklığı</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D — Tolerans Parametreleri</w:t>
      </w:r>
    </w:p>
    <w:p>
      <w:pPr>
        <w:spacing w:after="50" w:before="50" w:line="260" w:lineRule="auto"/>
        <w:jc w:val="both"/>
      </w:pPr>
      <w:r>
        <w:rPr>
          <w:rFonts w:ascii="Arial" w:cs="Arial" w:eastAsia="Arial" w:hAnsi="Arial"/>
          <w:b w:val="false"/>
          <w:bCs w:val="false"/>
          <w:i w:val="false"/>
          <w:iCs w:val="false"/>
          <w:color w:val="333333"/>
          <w:sz w:val="21"/>
          <w:szCs w:val="21"/>
        </w:rPr>
        <w:t xml:space="preserve">Bu bölüm ISO 286-1 standardına göre belirlenen tolerans sapmalarını kullanarak minimum çalışma boşluğunu ve termal genleşme sonrası efektif boşluğu hesaplar.</w:t>
      </w:r>
    </w:p>
    <w:p>
      <w:pPr>
        <w:spacing w:after="0" w:before="0"/>
      </w:pP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400"/>
        <w:gridCol w:w="7200"/>
      </w:tblGrid>
      <w:tr>
        <w:trPr>
          <w:tblHeader/>
        </w:trPr>
        <w:tc>
          <w:tcPr>
            <w:tcW w:type="dxa" w:w="14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Sembol</w:t>
            </w:r>
          </w:p>
        </w:tc>
        <w:tc>
          <w:tcPr>
            <w:tcW w:type="dxa" w:w="72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Açıklama</w:t>
            </w:r>
          </w:p>
        </w:tc>
      </w:tr>
      <w:tr>
        <w:tc>
          <w:tcPr>
            <w:tcW w:type="dxa" w:w="1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es</w:t>
            </w:r>
          </w:p>
        </w:tc>
        <w:tc>
          <w:tcPr>
            <w:tcW w:type="dxa" w:w="7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 üst sapması (µm → mm cinsinden giriniz). Örn: g6 için −0.009</w:t>
            </w:r>
          </w:p>
        </w:tc>
      </w:tr>
      <w:tr>
        <w:tc>
          <w:tcPr>
            <w:tcW w:type="dxa" w:w="1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ei</w:t>
            </w:r>
          </w:p>
        </w:tc>
        <w:tc>
          <w:tcPr>
            <w:tcW w:type="dxa" w:w="7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Mil alt sapması. Örn: g6 için −0.025</w:t>
            </w:r>
          </w:p>
        </w:tc>
      </w:tr>
      <w:tr>
        <w:tc>
          <w:tcPr>
            <w:tcW w:type="dxa" w:w="1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ES</w:t>
            </w:r>
          </w:p>
        </w:tc>
        <w:tc>
          <w:tcPr>
            <w:tcW w:type="dxa" w:w="7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 (delik) üst sapması. Örn: H7 için +0.021</w:t>
            </w:r>
          </w:p>
        </w:tc>
      </w:tr>
      <w:tr>
        <w:tc>
          <w:tcPr>
            <w:tcW w:type="dxa" w:w="1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EI</w:t>
            </w:r>
          </w:p>
        </w:tc>
        <w:tc>
          <w:tcPr>
            <w:tcW w:type="dxa" w:w="7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 (delik) alt sapması. H için her zaman 0</w:t>
            </w:r>
          </w:p>
        </w:tc>
      </w:tr>
      <w:tr>
        <w:tc>
          <w:tcPr>
            <w:tcW w:type="dxa" w:w="1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α (alfa)</w:t>
            </w:r>
          </w:p>
        </w:tc>
        <w:tc>
          <w:tcPr>
            <w:tcW w:type="dxa" w:w="7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Bronzun ısıl genleşme katsayısı. Standart: 1.8 × 10⁻⁵ /°C</w:t>
            </w:r>
          </w:p>
        </w:tc>
      </w:tr>
      <w:tr>
        <w:tc>
          <w:tcPr>
            <w:tcW w:type="dxa" w:w="1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ΔT</w:t>
            </w:r>
          </w:p>
        </w:tc>
        <w:tc>
          <w:tcPr>
            <w:tcW w:type="dxa" w:w="7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Çalışma sırasındaki sıcaklık artışı (°C). 0 gir → termal etki hesaplanmaz</w:t>
            </w:r>
          </w:p>
        </w:tc>
      </w:tr>
    </w:tbl>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E — Aşınma ve Soğutma</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1000"/>
        <w:gridCol w:w="2200"/>
        <w:gridCol w:w="5400"/>
      </w:tblGrid>
      <w:tr>
        <w:trPr>
          <w:tblHeader/>
        </w:trPr>
        <w:tc>
          <w:tcPr>
            <w:tcW w:type="dxa" w:w="1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Sembol</w:t>
            </w:r>
          </w:p>
        </w:tc>
        <w:tc>
          <w:tcPr>
            <w:tcW w:type="dxa" w:w="22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Parametre</w:t>
            </w:r>
          </w:p>
        </w:tc>
        <w:tc>
          <w:tcPr>
            <w:tcW w:type="dxa" w:w="54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Açıklama</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K</w:t>
            </w:r>
          </w:p>
        </w:tc>
        <w:tc>
          <w:tcPr>
            <w:tcW w:type="dxa" w:w="2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Aşınma Katsayısı</w:t>
            </w:r>
          </w:p>
        </w:tc>
        <w:tc>
          <w:tcPr>
            <w:tcW w:type="dxa" w:w="5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Archard aşınma katsayısı. Grafitli bronz için ~1×10⁻¹³ m²/N tipik</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H</w:t>
            </w:r>
          </w:p>
        </w:tc>
        <w:tc>
          <w:tcPr>
            <w:tcW w:type="dxa" w:w="2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Sertlik HB</w:t>
            </w:r>
          </w:p>
        </w:tc>
        <w:tc>
          <w:tcPr>
            <w:tcW w:type="dxa" w:w="5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Yatak malzemesinin Brinell sertliği</w:t>
            </w:r>
          </w:p>
        </w:tc>
      </w:tr>
      <w:tr>
        <w:tc>
          <w:tcPr>
            <w:tcW w:type="dxa" w:w="1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ΔTyag</w:t>
            </w:r>
          </w:p>
        </w:tc>
        <w:tc>
          <w:tcPr>
            <w:tcW w:type="dxa" w:w="2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İzin. Yağ ΔT</w:t>
            </w:r>
          </w:p>
        </w:tc>
        <w:tc>
          <w:tcPr>
            <w:tcW w:type="dxa" w:w="5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 sirkülasyon sisteminde izin verilen sıcaklık artışı (°C)</w:t>
            </w:r>
          </w:p>
        </w:tc>
      </w:tr>
      <w:tr>
        <w:tc>
          <w:tcPr>
            <w:tcW w:type="dxa" w:w="1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hconv</w:t>
            </w:r>
          </w:p>
        </w:tc>
        <w:tc>
          <w:tcPr>
            <w:tcW w:type="dxa" w:w="2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Konveksiyon h</w:t>
            </w:r>
          </w:p>
        </w:tc>
        <w:tc>
          <w:tcPr>
            <w:tcW w:type="dxa" w:w="5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Yüzey ısı taşınım katsayısı (W/m²°C). Hava ile soğutma: 10–20</w:t>
            </w:r>
          </w:p>
        </w:tc>
      </w:tr>
    </w:tbl>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Çıktılar ve Yorumlanması</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2000"/>
        <w:gridCol w:w="2400"/>
        <w:gridCol w:w="4200"/>
      </w:tblGrid>
      <w:tr>
        <w:trPr>
          <w:tblHeader/>
        </w:trPr>
        <w:tc>
          <w:tcPr>
            <w:tcW w:type="dxa" w:w="20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Gösterge</w:t>
            </w:r>
          </w:p>
        </w:tc>
        <w:tc>
          <w:tcPr>
            <w:tcW w:type="dxa" w:w="24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Formül / Kaynak</w:t>
            </w:r>
          </w:p>
        </w:tc>
        <w:tc>
          <w:tcPr>
            <w:tcW w:type="dxa" w:w="42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Yorum</w:t>
            </w:r>
          </w:p>
        </w:tc>
      </w:tr>
      <w:tr>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L/d Oranı</w:t>
            </w:r>
          </w:p>
        </w:tc>
        <w:tc>
          <w:tcPr>
            <w:tcW w:type="dxa" w:w="2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L / d</w:t>
            </w:r>
          </w:p>
        </w:tc>
        <w:tc>
          <w:tcPr>
            <w:tcW w:type="dxa" w:w="4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0.5 ≤ L/d ≤ 2.0 önerilir. Dışarıda → sarı uyarı</w:t>
            </w:r>
          </w:p>
        </w:tc>
      </w:tr>
      <w:tr>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Yüzey Basıncı Py</w:t>
            </w:r>
          </w:p>
        </w:tc>
        <w:tc>
          <w:tcPr>
            <w:tcW w:type="dxa" w:w="2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F / (d×L) [N/mm²]</w:t>
            </w:r>
          </w:p>
        </w:tc>
        <w:tc>
          <w:tcPr>
            <w:tcW w:type="dxa" w:w="4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Py &gt; Pem → kırmızı alarm (malzeme yetersiz)</w:t>
            </w:r>
          </w:p>
        </w:tc>
      </w:tr>
      <w:tr>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PV Faktörü</w:t>
            </w:r>
          </w:p>
        </w:tc>
        <w:tc>
          <w:tcPr>
            <w:tcW w:type="dxa" w:w="2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Py × V [MPa·m/s]</w:t>
            </w:r>
          </w:p>
        </w:tc>
        <w:tc>
          <w:tcPr>
            <w:tcW w:type="dxa" w:w="4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Yağlama türü sınırını aşınca uyarı</w:t>
            </w:r>
          </w:p>
        </w:tc>
      </w:tr>
      <w:tr>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Sommerfeld S</w:t>
            </w:r>
          </w:p>
        </w:tc>
        <w:tc>
          <w:tcPr>
            <w:tcW w:type="dxa" w:w="2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(η·Ns/P) × (r/c)²</w:t>
            </w:r>
          </w:p>
        </w:tc>
        <w:tc>
          <w:tcPr>
            <w:tcW w:type="dxa" w:w="4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&gt; 0.1: TAM HİDRODİNAMİK ✅ | 0.01–0.1: GEÇİŞ ⚠ | &lt; 0.01: SINIR 🔴</w:t>
            </w:r>
          </w:p>
        </w:tc>
      </w:tr>
      <w:tr>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Efektif Boşluk c_eff</w:t>
            </w:r>
          </w:p>
        </w:tc>
        <w:tc>
          <w:tcPr>
            <w:tcW w:type="dxa" w:w="2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c_min − α·d·ΔT</w:t>
            </w:r>
          </w:p>
        </w:tc>
        <w:tc>
          <w:tcPr>
            <w:tcW w:type="dxa" w:w="4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 0 → termal sıkışma riski → kırmızı</w:t>
            </w:r>
          </w:p>
        </w:tc>
      </w:tr>
      <w:tr>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h_min</w:t>
            </w:r>
          </w:p>
        </w:tc>
        <w:tc>
          <w:tcPr>
            <w:tcW w:type="dxa" w:w="2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c_eff × (1 − ε)</w:t>
            </w:r>
          </w:p>
        </w:tc>
        <w:tc>
          <w:tcPr>
            <w:tcW w:type="dxa" w:w="4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Min. yağ filmi. Geçersiz (c_eff ≤ 0) durumunda "GEÇERSİZ" yazar</w:t>
            </w:r>
          </w:p>
        </w:tc>
      </w:tr>
      <w:tr>
        <w:tc>
          <w:tcPr>
            <w:tcW w:type="dxa" w:w="20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Tahmini Ömür</w:t>
            </w:r>
          </w:p>
        </w:tc>
        <w:tc>
          <w:tcPr>
            <w:tcW w:type="dxa" w:w="24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Archard formülü</w:t>
            </w:r>
          </w:p>
        </w:tc>
        <w:tc>
          <w:tcPr>
            <w:tcW w:type="dxa" w:w="42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Saat ve yıl cinsinden tahmin</w:t>
            </w:r>
          </w:p>
        </w:tc>
      </w:tr>
      <w:tr>
        <w:tc>
          <w:tcPr>
            <w:tcW w:type="dxa" w:w="20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Genel Karar</w:t>
            </w:r>
          </w:p>
        </w:tc>
        <w:tc>
          <w:tcPr>
            <w:tcW w:type="dxa" w:w="24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Tüm kriterlerin AND'i</w:t>
            </w:r>
          </w:p>
        </w:tc>
        <w:tc>
          <w:tcPr>
            <w:tcW w:type="dxa" w:w="42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Hepsi ✓ → ✅ ONAYLANDI; herhangi biri ✗ → ❌</w:t>
            </w:r>
          </w:p>
        </w:tc>
      </w:tr>
    </w:tbl>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Örnek Hesaplamalar</w:t>
      </w:r>
    </w:p>
    <w:p>
      <w:pPr>
        <w:pStyle w:val="Heading2"/>
        <w:spacing w:after="50" w:before="120" w:line="260"/>
      </w:pPr>
      <w:r>
        <w:rPr>
          <w:rFonts w:ascii="Arial" w:cs="Arial" w:eastAsia="Arial" w:hAnsi="Arial"/>
          <w:b/>
          <w:bCs/>
          <w:i w:val="false"/>
          <w:iCs w:val="false"/>
          <w:color w:val="003399"/>
          <w:sz w:val="22"/>
          <w:szCs w:val="22"/>
        </w:rPr>
        <w:t xml:space="preserve">Örnek 1 — Küçük Çap: Tarım Makinesi Eklem Yatağı  (d = 30 mm)</w:t>
      </w:r>
    </w:p>
    <w:p>
      <w:pPr>
        <w:spacing w:after="50" w:before="50" w:line="260" w:lineRule="auto"/>
        <w:jc w:val="both"/>
      </w:pPr>
      <w:r>
        <w:rPr>
          <w:rFonts w:ascii="Arial" w:cs="Arial" w:eastAsia="Arial" w:hAnsi="Arial"/>
          <w:b w:val="false"/>
          <w:bCs w:val="false"/>
          <w:i w:val="false"/>
          <w:iCs w:val="false"/>
          <w:color w:val="333333"/>
          <w:sz w:val="21"/>
          <w:szCs w:val="21"/>
        </w:rPr>
        <w:t xml:space="preserve">Senaryo: Gübre dağıtma makinesi üzerindeki çalışma kolunun eklem noktasında grafitli bronz yatak. Salınımlı hareket, toz/çamur ortamı, düşük devir, hafif yük. Sıvı yağlama imkânsız — yagsız çalışma hedefleniyor.</w:t>
      </w:r>
    </w:p>
    <w:p>
      <w:pPr>
        <w:spacing w:after="0" w:before="0"/>
      </w:pPr>
    </w:p>
    <w:p>
      <w:pPr>
        <w:shd w:fill="7A4818" w:val="clear"/>
        <w:spacing w:after="0" w:before="0"/>
      </w:pPr>
      <w:r>
        <w:rPr>
          <w:rFonts w:ascii="Arial" w:cs="Arial" w:eastAsia="Arial" w:hAnsi="Arial"/>
          <w:b/>
          <w:bCs/>
          <w:i w:val="false"/>
          <w:iCs w:val="false"/>
          <w:color w:val="FFFFFF"/>
          <w:sz w:val="18"/>
          <w:szCs w:val="18"/>
        </w:rPr>
        <w:t xml:space="preserve">    GİRİŞ PARAMETRELERİ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Mil Çapı (d)</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30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Yatak Genişliği (L)</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36 mm  →  L/d = 1.20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Tasarım Boşluğu (c)</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0.020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Radyal Yük (F)</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600 N</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Dönüş Hızı (n)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60 d/dak</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Viskozite (η)</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0.025 Pa·s  (hafif yağ — ön yağlama)</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Mil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-0.009 / -0.025 mm  (H7/g6)</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Delik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+0.021 / 0.000 mm  (H7)</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Sıcaklık Artışı (ΔT)</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10 °C</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Pem / PVizin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1.5 N/mm² / 0.5 MPa·m/s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K / H</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1×10⁻¹³ / 150 HB</w:t>
            </w:r>
          </w:p>
        </w:tc>
      </w:tr>
    </w:tbl>
    <w:p>
      <w:pPr>
        <w:spacing w:after="0" w:before="0"/>
      </w:pPr>
    </w:p>
    <w:p>
      <w:pPr>
        <w:shd w:fill="003399" w:val="clear"/>
        <w:spacing w:after="0" w:before="0"/>
      </w:pPr>
      <w:r>
        <w:rPr>
          <w:rFonts w:ascii="Arial" w:cs="Arial" w:eastAsia="Arial" w:hAnsi="Arial"/>
          <w:b/>
          <w:bCs/>
          <w:i w:val="false"/>
          <w:iCs w:val="false"/>
          <w:color w:val="FFFFFF"/>
          <w:sz w:val="18"/>
          <w:szCs w:val="18"/>
        </w:rPr>
        <w:t xml:space="preserve">    HESAPLAMA SONUÇLARI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Çevresel Hız (V)  = π×30×60/60000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0.09425 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Yüzey Basıncı (Py)  = 600/(30×36)</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0.5556 N/mm²  &lt;  Pem(1.5)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PV Faktörü  = 0.5556 × 0.09425</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0.0524 MPa·m/s  &lt;  PVizin(0.5)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Sommerfeld Sayısı (S)</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0.0253  →  GEÇİŞ BÖLGESİ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c_min  = EI − es  = 0−(−0.009)</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0.0090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Termal Daralma  = 30×1.8e-5×10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0.0054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Efektif Boşluk (c_eff)  = 0.009 − 0.0054</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0.0036 mm  &gt;  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h_min  = 0.0036 × (1 − 0.80)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0.0007 mm  =  0.7 µm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E8C060" w:val="clear"/>
            <w:tcMar>
              <w:left w:type="dxa" w:w="90"/>
              <w:right w:type="dxa" w:w="60"/>
            </w:tcMar>
          </w:tcPr>
          <w:p>
            <w:pPr>
              <w:spacing w:after="26" w:before="26"/>
            </w:pPr>
            <w:r>
              <w:rPr>
                <w:rFonts w:ascii="Arial" w:cs="Arial" w:eastAsia="Arial" w:hAnsi="Arial"/>
                <w:b/>
                <w:bCs/>
                <w:i w:val="false"/>
                <w:iCs w:val="false"/>
                <w:color w:val="000000"/>
                <w:sz w:val="19"/>
                <w:szCs w:val="19"/>
              </w:rPr>
              <w:t xml:space="preserve">Tahmini Ömür</w:t>
            </w:r>
          </w:p>
        </w:tc>
        <w:tc>
          <w:tcPr>
            <w:tcW w:type="dxa" w:w="3800"/>
            <w:shd w:fill="E8C060" w:val="clear"/>
            <w:tcMar>
              <w:left w:type="dxa" w:w="90"/>
              <w:right w:type="dxa" w:w="60"/>
            </w:tcMar>
          </w:tcPr>
          <w:p>
            <w:pPr>
              <w:spacing w:after="26" w:before="26"/>
            </w:pPr>
            <w:r>
              <w:rPr>
                <w:rFonts w:ascii="Courier New" w:cs="Courier New" w:eastAsia="Courier New" w:hAnsi="Courier New"/>
                <w:b/>
                <w:bCs/>
                <w:i w:val="false"/>
                <w:iCs w:val="false"/>
                <w:color w:val="000000"/>
                <w:sz w:val="20"/>
                <w:szCs w:val="20"/>
              </w:rPr>
              <w:t xml:space="preserve">&gt; 1.000.000 saat  (pratik olarak sonsuz)  ✓</w:t>
            </w:r>
          </w:p>
        </w:tc>
      </w:tr>
    </w:tbl>
    <w:p>
      <w:pPr>
        <w:spacing w:after="0" w:before="0"/>
      </w:pPr>
    </w:p>
    <w:p>
      <w:pPr>
        <w:pBdr>
          <w:left w:val="single" w:color="E8C060" w:sz="14" w:space="6"/>
        </w:pBdr>
        <w:shd w:fill="FDF4DC" w:val="clear"/>
        <w:spacing w:after="50" w:before="50" w:line="260" w:lineRule="auto"/>
        <w:jc w:val="both"/>
      </w:pPr>
      <w:r>
        <w:rPr>
          <w:rFonts w:ascii="Arial" w:cs="Arial" w:eastAsia="Arial" w:hAnsi="Arial"/>
          <w:b/>
          <w:bCs/>
          <w:i w:val="false"/>
          <w:iCs w:val="false"/>
          <w:color w:val="7A4818"/>
          <w:sz w:val="22"/>
          <w:szCs w:val="22"/>
        </w:rPr>
        <w:t xml:space="preserve">Sonuç: </w:t>
      </w:r>
      <w:r>
        <w:rPr>
          <w:rFonts w:ascii="Arial" w:cs="Arial" w:eastAsia="Arial" w:hAnsi="Arial"/>
          <w:b w:val="false"/>
          <w:bCs w:val="false"/>
          <w:i w:val="false"/>
          <w:iCs w:val="false"/>
          <w:color w:val="222222"/>
          <w:sz w:val="21"/>
          <w:szCs w:val="21"/>
        </w:rPr>
        <w:t xml:space="preserve">✅ TASARIM ONAYLANDI — Tüm kriterler sağlandı. Grafitli bronz bu koşulda yağlama gerektirmeden çalışır.</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Örnek 2 — Orta Çap: Sanayi Pompa Motoru Yatağı  (d = 80 mm)</w:t>
      </w:r>
    </w:p>
    <w:p>
      <w:pPr>
        <w:spacing w:after="50" w:before="50" w:line="260" w:lineRule="auto"/>
        <w:jc w:val="both"/>
      </w:pPr>
      <w:r>
        <w:rPr>
          <w:rFonts w:ascii="Arial" w:cs="Arial" w:eastAsia="Arial" w:hAnsi="Arial"/>
          <w:b w:val="false"/>
          <w:bCs w:val="false"/>
          <w:i w:val="false"/>
          <w:iCs w:val="false"/>
          <w:color w:val="333333"/>
          <w:sz w:val="21"/>
          <w:szCs w:val="21"/>
        </w:rPr>
        <w:t xml:space="preserve">Senaryo: Endüstriyel santrifüj pompa tahrik milinin kaymalı yatağı. Sürekli dönme, orta yük, ılımlı devir. Sistem hafif yağlama ile çalışacak (η = 0.040 Pa·s). Tam hidrodinamik yağlama rejimi hedefleniyor.</w:t>
      </w:r>
    </w:p>
    <w:p>
      <w:pPr>
        <w:spacing w:after="0" w:before="0"/>
      </w:pPr>
    </w:p>
    <w:p>
      <w:pPr>
        <w:shd w:fill="7A4818" w:val="clear"/>
        <w:spacing w:after="0" w:before="0"/>
      </w:pPr>
      <w:r>
        <w:rPr>
          <w:rFonts w:ascii="Arial" w:cs="Arial" w:eastAsia="Arial" w:hAnsi="Arial"/>
          <w:b/>
          <w:bCs/>
          <w:i w:val="false"/>
          <w:iCs w:val="false"/>
          <w:color w:val="FFFFFF"/>
          <w:sz w:val="18"/>
          <w:szCs w:val="18"/>
        </w:rPr>
        <w:t xml:space="preserve">    GİRİŞ PARAMETRELERİ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Mil Çapı (d)</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80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Yatak Genişliği (L)</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80 mm  →  L/d = 1.00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Tasarım Boşluğu (c)</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0.045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Radyal Yük (F)</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5.000 N</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Dönüş Hızı (n)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200 d/dak</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Viskozite (η)</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0.040 Pa·s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Mil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-0.030 / -0.060 mm  (H7/f7)</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Delik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+0.030 / 0.000 mm  (H7)</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Sıcaklık Artışı (ΔT)</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15 °C</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Pem / PVizin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2.0 N/mm² / 1.5 MPa·m/s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K / H</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1×10⁻¹³ / 180 HB</w:t>
            </w:r>
          </w:p>
        </w:tc>
      </w:tr>
    </w:tbl>
    <w:p>
      <w:pPr>
        <w:spacing w:after="0" w:before="0"/>
      </w:pPr>
    </w:p>
    <w:p>
      <w:pPr>
        <w:shd w:fill="003399" w:val="clear"/>
        <w:spacing w:after="0" w:before="0"/>
      </w:pPr>
      <w:r>
        <w:rPr>
          <w:rFonts w:ascii="Arial" w:cs="Arial" w:eastAsia="Arial" w:hAnsi="Arial"/>
          <w:b/>
          <w:bCs/>
          <w:i w:val="false"/>
          <w:iCs w:val="false"/>
          <w:color w:val="FFFFFF"/>
          <w:sz w:val="18"/>
          <w:szCs w:val="18"/>
        </w:rPr>
        <w:t xml:space="preserve">    HESAPLAMA SONUÇLARI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Çevresel Hız (V)  = π×80×200/60000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0.8378 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Yüzey Basıncı (Py)  = 5000/(80×80)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0.7813 N/mm²  &lt;  Pem(2.0)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PV Faktörü  = 0.7813 × 0.8378</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0.6546 MPa·m/s  &lt;  PVizin(1.5)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Sommerfeld Sayısı (S)</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0.1349  →  TAM HİDRODİNAMİK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c_min  = 0 − (−0.030)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0.0300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Termal Daralma  = 80×1.8e-5×15</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0.0216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Efektif Boşluk (c_eff)  = 0.030 − 0.0216</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0.0084 mm  &gt;  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h_min  = 0.0084 × (1 − 0.60)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0.0034 mm  =  3.4 µm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E8C060" w:val="clear"/>
            <w:tcMar>
              <w:left w:type="dxa" w:w="90"/>
              <w:right w:type="dxa" w:w="60"/>
            </w:tcMar>
          </w:tcPr>
          <w:p>
            <w:pPr>
              <w:spacing w:after="26" w:before="26"/>
            </w:pPr>
            <w:r>
              <w:rPr>
                <w:rFonts w:ascii="Arial" w:cs="Arial" w:eastAsia="Arial" w:hAnsi="Arial"/>
                <w:b/>
                <w:bCs/>
                <w:i w:val="false"/>
                <w:iCs w:val="false"/>
                <w:color w:val="000000"/>
                <w:sz w:val="19"/>
                <w:szCs w:val="19"/>
              </w:rPr>
              <w:t xml:space="preserve">Tahmini Ömür</w:t>
            </w:r>
          </w:p>
        </w:tc>
        <w:tc>
          <w:tcPr>
            <w:tcW w:type="dxa" w:w="3800"/>
            <w:shd w:fill="E8C060" w:val="clear"/>
            <w:tcMar>
              <w:left w:type="dxa" w:w="90"/>
              <w:right w:type="dxa" w:w="60"/>
            </w:tcMar>
          </w:tcPr>
          <w:p>
            <w:pPr>
              <w:spacing w:after="26" w:before="26"/>
            </w:pPr>
            <w:r>
              <w:rPr>
                <w:rFonts w:ascii="Courier New" w:cs="Courier New" w:eastAsia="Courier New" w:hAnsi="Courier New"/>
                <w:b/>
                <w:bCs/>
                <w:i w:val="false"/>
                <w:iCs w:val="false"/>
                <w:color w:val="000000"/>
                <w:sz w:val="20"/>
                <w:szCs w:val="20"/>
              </w:rPr>
              <w:t xml:space="preserve">&gt; 1.000.000 saat  ✓</w:t>
            </w:r>
          </w:p>
        </w:tc>
      </w:tr>
    </w:tbl>
    <w:p>
      <w:pPr>
        <w:spacing w:after="0" w:before="0"/>
      </w:pPr>
    </w:p>
    <w:p>
      <w:pPr>
        <w:pBdr>
          <w:left w:val="single" w:color="E8C060" w:sz="14" w:space="6"/>
        </w:pBdr>
        <w:shd w:fill="FDF4DC" w:val="clear"/>
        <w:spacing w:after="50" w:before="50" w:line="260" w:lineRule="auto"/>
        <w:jc w:val="both"/>
      </w:pPr>
      <w:r>
        <w:rPr>
          <w:rFonts w:ascii="Arial" w:cs="Arial" w:eastAsia="Arial" w:hAnsi="Arial"/>
          <w:b/>
          <w:bCs/>
          <w:i w:val="false"/>
          <w:iCs w:val="false"/>
          <w:color w:val="7A4818"/>
          <w:sz w:val="22"/>
          <w:szCs w:val="22"/>
        </w:rPr>
        <w:t xml:space="preserve">Sonuç: </w:t>
      </w:r>
      <w:r>
        <w:rPr>
          <w:rFonts w:ascii="Arial" w:cs="Arial" w:eastAsia="Arial" w:hAnsi="Arial"/>
          <w:b w:val="false"/>
          <w:bCs w:val="false"/>
          <w:i w:val="false"/>
          <w:iCs w:val="false"/>
          <w:color w:val="222222"/>
          <w:sz w:val="21"/>
          <w:szCs w:val="21"/>
        </w:rPr>
        <w:t xml:space="preserve">✅ TASARIM ONAYLANDI — Tam hidrodinamik rejim (S &gt; 0.1): yağ filmi tam oluşuyor. En uygun çalışma koşulu.</w:t>
      </w:r>
    </w:p>
    <w:p>
      <w:pPr>
        <w:spacing w:after="0" w:before="0"/>
      </w:pPr>
    </w:p>
    <w:p>
      <w:pPr>
        <w:pStyle w:val="Heading2"/>
        <w:spacing w:after="50" w:before="120" w:line="260"/>
      </w:pPr>
      <w:r>
        <w:rPr>
          <w:rFonts w:ascii="Arial" w:cs="Arial" w:eastAsia="Arial" w:hAnsi="Arial"/>
          <w:b/>
          <w:bCs/>
          <w:i w:val="false"/>
          <w:iCs w:val="false"/>
          <w:color w:val="003399"/>
          <w:sz w:val="22"/>
          <w:szCs w:val="22"/>
        </w:rPr>
        <w:t xml:space="preserve">Örnek 3 — Büyük Çap: Baraj Kapak Mekanizması Yatağı  (d = 150 mm)</w:t>
      </w:r>
    </w:p>
    <w:p>
      <w:pPr>
        <w:spacing w:after="50" w:before="50" w:line="260" w:lineRule="auto"/>
        <w:jc w:val="both"/>
      </w:pPr>
      <w:r>
        <w:rPr>
          <w:rFonts w:ascii="Arial" w:cs="Arial" w:eastAsia="Arial" w:hAnsi="Arial"/>
          <w:b w:val="false"/>
          <w:bCs w:val="false"/>
          <w:i w:val="false"/>
          <w:iCs w:val="false"/>
          <w:color w:val="333333"/>
          <w:sz w:val="21"/>
          <w:szCs w:val="21"/>
        </w:rPr>
        <w:t xml:space="preserve">Senaryo: Baraj savak kapağı açma-kapama mekanizmasındaki mil yatağı. Çok düşük devir, ağır yük, su ortamı — sıvı yağlama uygulanamaz. Grafitli bronz tek seçenek. Büyük çaplı olduğu için termal genleşme etkisi kritik.</w:t>
      </w:r>
    </w:p>
    <w:p>
      <w:pPr>
        <w:spacing w:after="0" w:before="0"/>
      </w:pPr>
    </w:p>
    <w:p>
      <w:pPr>
        <w:shd w:fill="7A4818" w:val="clear"/>
        <w:spacing w:after="0" w:before="0"/>
      </w:pPr>
      <w:r>
        <w:rPr>
          <w:rFonts w:ascii="Arial" w:cs="Arial" w:eastAsia="Arial" w:hAnsi="Arial"/>
          <w:b/>
          <w:bCs/>
          <w:i w:val="false"/>
          <w:iCs w:val="false"/>
          <w:color w:val="FFFFFF"/>
          <w:sz w:val="18"/>
          <w:szCs w:val="18"/>
        </w:rPr>
        <w:t xml:space="preserve">    GİRİŞ PARAMETRELERİ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Mil Çapı (d)</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150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Yatak Genişliği (L)</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120 mm  →  L/d = 0.80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Tasarım Boşluğu (c)</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0.080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Radyal Yük (F)</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30.000 N</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Dönüş Hızı (n)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20 d/dak</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Viskozite (η)</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0.080 Pa·s  (ağır yağ — ön yağlama)</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Mil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-0.085 / -0.185 mm  (H7/e9)</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Tolerans — Delik (ES / EI)</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+0.040 / 0.000 mm  (H7)</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Sıcaklık Artışı (ΔT)</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25 °C</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Pem / PVizin</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3.0 N/mm² / 3.0 MPa·m/s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K / H</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1×10⁻¹³ / 200 HB</w:t>
            </w:r>
          </w:p>
        </w:tc>
      </w:tr>
    </w:tbl>
    <w:p>
      <w:pPr>
        <w:spacing w:after="0" w:before="0"/>
      </w:pPr>
    </w:p>
    <w:p>
      <w:pPr>
        <w:shd w:fill="003399" w:val="clear"/>
        <w:spacing w:after="0" w:before="0"/>
      </w:pPr>
      <w:r>
        <w:rPr>
          <w:rFonts w:ascii="Arial" w:cs="Arial" w:eastAsia="Arial" w:hAnsi="Arial"/>
          <w:b/>
          <w:bCs/>
          <w:i w:val="false"/>
          <w:iCs w:val="false"/>
          <w:color w:val="FFFFFF"/>
          <w:sz w:val="18"/>
          <w:szCs w:val="18"/>
        </w:rPr>
        <w:t xml:space="preserve">    HESAPLAMA SONUÇLARI</w:t>
      </w:r>
    </w:p>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Çevresel Hız (V)  = π×150×20/60000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0.1571 m/s</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Yüzey Basıncı (Py)  = 30000/(150×120)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1.6667 N/mm²  &lt;  Pem(3.0)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PV Faktörü  = 1.6667 × 0.1571</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0.2618 MPa·m/s  &lt;  PVizin(3.0)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Sommerfeld Sayısı (S)</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0.0141  →  GEÇİŞ BÖLGESİ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c_min  = 0 − (−0.085)</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0.0850 mm  (geniş boşluk — büyük ΔT için gerekli)</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Termal Daralma  = 150×1.8e-5×25</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0.0675 mm</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Efektif Boşluk (c_eff)  = 0.085 − 0.0675</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0.0175 mm  &gt;  0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F5F5F5" w:val="clear"/>
            <w:tcMar>
              <w:left w:type="dxa" w:w="90"/>
              <w:right w:type="dxa" w:w="60"/>
            </w:tcMar>
          </w:tcPr>
          <w:p>
            <w:pPr>
              <w:spacing w:after="26" w:before="26"/>
            </w:pPr>
            <w:r>
              <w:rPr>
                <w:rFonts w:ascii="Arial" w:cs="Arial" w:eastAsia="Arial" w:hAnsi="Arial"/>
                <w:b w:val="false"/>
                <w:bCs w:val="false"/>
                <w:i w:val="false"/>
                <w:iCs w:val="false"/>
                <w:color w:val="444444"/>
                <w:sz w:val="19"/>
                <w:szCs w:val="19"/>
              </w:rPr>
              <w:t xml:space="preserve">h_min  = 0.0175 × (1 − 0.80)</w:t>
            </w:r>
          </w:p>
        </w:tc>
        <w:tc>
          <w:tcPr>
            <w:tcW w:type="dxa" w:w="3800"/>
            <w:shd w:fill="FAFAFA" w:val="clear"/>
            <w:tcMar>
              <w:left w:type="dxa" w:w="90"/>
              <w:right w:type="dxa" w:w="60"/>
            </w:tcMar>
          </w:tcPr>
          <w:p>
            <w:pPr>
              <w:spacing w:after="26" w:before="26"/>
            </w:pPr>
            <w:r>
              <w:rPr>
                <w:rFonts w:ascii="Courier New" w:cs="Courier New" w:eastAsia="Courier New" w:hAnsi="Courier New"/>
                <w:b/>
                <w:bCs/>
                <w:i w:val="false"/>
                <w:iCs w:val="false"/>
                <w:color w:val="7A4818"/>
                <w:sz w:val="20"/>
                <w:szCs w:val="20"/>
              </w:rPr>
              <w:t xml:space="preserve">0.0035 mm  =  3.5 µm  ✓</w:t>
            </w:r>
          </w:p>
        </w:tc>
      </w:tr>
    </w:tbl>
    <w:tbl>
      <w:tblPr>
        <w:tblW w:type="dxa" w:w="8600"/>
        <w:tblBorders>
          <w:top w:val="single" w:color="auto" w:sz="4"/>
          <w:left w:val="single" w:color="auto" w:sz="4"/>
          <w:bottom w:val="single" w:color="auto" w:sz="4"/>
          <w:right w:val="single" w:color="auto" w:sz="4"/>
          <w:insideH w:val="single" w:color="auto" w:sz="4"/>
          <w:insideV w:val="single" w:color="auto" w:sz="4"/>
        </w:tblBorders>
      </w:tblPr>
      <w:tblGrid>
        <w:gridCol w:w="4800"/>
        <w:gridCol w:w="3800"/>
      </w:tblGrid>
      <w:tr>
        <w:tc>
          <w:tcPr>
            <w:tcW w:type="dxa" w:w="4800"/>
            <w:shd w:fill="E8C060" w:val="clear"/>
            <w:tcMar>
              <w:left w:type="dxa" w:w="90"/>
              <w:right w:type="dxa" w:w="60"/>
            </w:tcMar>
          </w:tcPr>
          <w:p>
            <w:pPr>
              <w:spacing w:after="26" w:before="26"/>
            </w:pPr>
            <w:r>
              <w:rPr>
                <w:rFonts w:ascii="Arial" w:cs="Arial" w:eastAsia="Arial" w:hAnsi="Arial"/>
                <w:b/>
                <w:bCs/>
                <w:i w:val="false"/>
                <w:iCs w:val="false"/>
                <w:color w:val="000000"/>
                <w:sz w:val="19"/>
                <w:szCs w:val="19"/>
              </w:rPr>
              <w:t xml:space="preserve">Tahmini Ömür</w:t>
            </w:r>
          </w:p>
        </w:tc>
        <w:tc>
          <w:tcPr>
            <w:tcW w:type="dxa" w:w="3800"/>
            <w:shd w:fill="E8C060" w:val="clear"/>
            <w:tcMar>
              <w:left w:type="dxa" w:w="90"/>
              <w:right w:type="dxa" w:w="60"/>
            </w:tcMar>
          </w:tcPr>
          <w:p>
            <w:pPr>
              <w:spacing w:after="26" w:before="26"/>
            </w:pPr>
            <w:r>
              <w:rPr>
                <w:rFonts w:ascii="Courier New" w:cs="Courier New" w:eastAsia="Courier New" w:hAnsi="Courier New"/>
                <w:b/>
                <w:bCs/>
                <w:i w:val="false"/>
                <w:iCs w:val="false"/>
                <w:color w:val="000000"/>
                <w:sz w:val="20"/>
                <w:szCs w:val="20"/>
              </w:rPr>
              <w:t xml:space="preserve">&gt; 1.000.000 saat  ✓</w:t>
            </w:r>
          </w:p>
        </w:tc>
      </w:tr>
    </w:tbl>
    <w:p>
      <w:pPr>
        <w:spacing w:after="0" w:before="0"/>
      </w:pPr>
    </w:p>
    <w:p>
      <w:pPr>
        <w:pBdr>
          <w:left w:val="single" w:color="E8C060" w:sz="14" w:space="6"/>
        </w:pBdr>
        <w:shd w:fill="FDF4DC" w:val="clear"/>
        <w:spacing w:after="50" w:before="50" w:line="260" w:lineRule="auto"/>
        <w:jc w:val="both"/>
      </w:pPr>
      <w:r>
        <w:rPr>
          <w:rFonts w:ascii="Arial" w:cs="Arial" w:eastAsia="Arial" w:hAnsi="Arial"/>
          <w:b/>
          <w:bCs/>
          <w:i w:val="false"/>
          <w:iCs w:val="false"/>
          <w:color w:val="7A4818"/>
          <w:sz w:val="22"/>
          <w:szCs w:val="22"/>
        </w:rPr>
        <w:t xml:space="preserve">Sonuç: </w:t>
      </w:r>
      <w:r>
        <w:rPr>
          <w:rFonts w:ascii="Arial" w:cs="Arial" w:eastAsia="Arial" w:hAnsi="Arial"/>
          <w:b w:val="false"/>
          <w:bCs w:val="false"/>
          <w:i w:val="false"/>
          <w:iCs w:val="false"/>
          <w:color w:val="222222"/>
          <w:sz w:val="21"/>
          <w:szCs w:val="21"/>
        </w:rPr>
        <w:t xml:space="preserve">✅ TASARIM ONAYLANDI — Büyük çaplı uygulamada termal boşluk yönetimi kritikti. H7/e9 geniş toleransı (c_min=0.085mm) termal daralmayı (0.068mm) absorbe etti.</w:t>
      </w:r>
    </w:p>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Üç Örneğin Karşılaştırması</w:t>
      </w:r>
    </w:p>
    <w:tbl>
      <w:tblPr>
        <w:tblW w:type="dxa" w:w="8000"/>
        <w:tblBorders>
          <w:top w:val="single" w:color="auto" w:sz="4"/>
          <w:left w:val="single" w:color="auto" w:sz="4"/>
          <w:bottom w:val="single" w:color="auto" w:sz="4"/>
          <w:right w:val="single" w:color="auto" w:sz="4"/>
          <w:insideH w:val="single" w:color="auto" w:sz="4"/>
          <w:insideV w:val="single" w:color="auto" w:sz="4"/>
        </w:tblBorders>
      </w:tblPr>
      <w:tblGrid>
        <w:gridCol w:w="2600"/>
        <w:gridCol w:w="1800"/>
        <w:gridCol w:w="1800"/>
        <w:gridCol w:w="1800"/>
      </w:tblGrid>
      <w:tr>
        <w:trPr>
          <w:tblHeader/>
        </w:trPr>
        <w:tc>
          <w:tcPr>
            <w:tcW w:type="dxa" w:w="26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Parametre</w:t>
            </w:r>
          </w:p>
        </w:tc>
        <w:tc>
          <w:tcPr>
            <w:tcW w:type="dxa" w:w="18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Örnek 1  (d=30)</w:t>
            </w:r>
          </w:p>
        </w:tc>
        <w:tc>
          <w:tcPr>
            <w:tcW w:type="dxa" w:w="18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Örnek 2  (d=80)</w:t>
            </w:r>
          </w:p>
        </w:tc>
        <w:tc>
          <w:tcPr>
            <w:tcW w:type="dxa" w:w="1800"/>
            <w:shd w:fill="7A4818" w:val="clear"/>
            <w:tcMar>
              <w:left w:type="dxa" w:w="80"/>
              <w:right w:type="dxa" w:w="80"/>
            </w:tcMar>
            <w:vAlign w:val="center"/>
          </w:tcPr>
          <w:p>
            <w:pPr>
              <w:spacing w:after="28" w:before="28"/>
              <w:jc w:val="center"/>
            </w:pPr>
            <w:r>
              <w:rPr>
                <w:rFonts w:ascii="Arial" w:cs="Arial" w:eastAsia="Arial" w:hAnsi="Arial"/>
                <w:b/>
                <w:bCs/>
                <w:i w:val="false"/>
                <w:iCs w:val="false"/>
                <w:color w:val="FFFFFF"/>
                <w:sz w:val="19"/>
                <w:szCs w:val="19"/>
              </w:rPr>
              <w:t xml:space="preserve">Örnek 3  (d=150)</w:t>
            </w:r>
          </w:p>
        </w:tc>
      </w:tr>
      <w:tr>
        <w:tc>
          <w:tcPr>
            <w:tcW w:type="dxa" w:w="26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Çevre Hızı V (m/s)</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0.094</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0.838</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0.157</w:t>
            </w:r>
          </w:p>
        </w:tc>
      </w:tr>
      <w:tr>
        <w:tc>
          <w:tcPr>
            <w:tcW w:type="dxa" w:w="26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Yüzey Basıncı Py (N/mm²)</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0.556</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0.781</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1.667</w:t>
            </w:r>
          </w:p>
        </w:tc>
      </w:tr>
      <w:tr>
        <w:tc>
          <w:tcPr>
            <w:tcW w:type="dxa" w:w="26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PV Faktörü (MPa·m/s)</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0.052</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0.655</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0.262</w:t>
            </w:r>
          </w:p>
        </w:tc>
      </w:tr>
      <w:tr>
        <w:tc>
          <w:tcPr>
            <w:tcW w:type="dxa" w:w="26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Sommerfeld Sayısı S</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0.025</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0.135</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0.014</w:t>
            </w:r>
          </w:p>
        </w:tc>
      </w:tr>
      <w:tr>
        <w:tc>
          <w:tcPr>
            <w:tcW w:type="dxa" w:w="26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Yağlama Rejimi</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Geçiş ⚠</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Tam Hidro ✅</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Geçiş ⚠</w:t>
            </w:r>
          </w:p>
        </w:tc>
      </w:tr>
      <w:tr>
        <w:tc>
          <w:tcPr>
            <w:tcW w:type="dxa" w:w="26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c_min (mm)</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0.009</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0.030</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0.085</w:t>
            </w:r>
          </w:p>
        </w:tc>
      </w:tr>
      <w:tr>
        <w:tc>
          <w:tcPr>
            <w:tcW w:type="dxa" w:w="26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Termal Daralma (mm)</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0.005</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0.022</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0.068</w:t>
            </w:r>
          </w:p>
        </w:tc>
      </w:tr>
      <w:tr>
        <w:tc>
          <w:tcPr>
            <w:tcW w:type="dxa" w:w="26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c_eff (mm)</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0.0036</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0.0084</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0.0175</w:t>
            </w:r>
          </w:p>
        </w:tc>
      </w:tr>
      <w:tr>
        <w:tc>
          <w:tcPr>
            <w:tcW w:type="dxa" w:w="26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h_min (µm)</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0.72</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3.4</w:t>
            </w:r>
          </w:p>
        </w:tc>
        <w:tc>
          <w:tcPr>
            <w:tcW w:type="dxa" w:w="1800"/>
            <w:shd w:fill="FFFFFF"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3.5</w:t>
            </w:r>
          </w:p>
        </w:tc>
      </w:tr>
      <w:tr>
        <w:tc>
          <w:tcPr>
            <w:tcW w:type="dxa" w:w="26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Genel Karar</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w:t>
            </w:r>
          </w:p>
        </w:tc>
        <w:tc>
          <w:tcPr>
            <w:tcW w:type="dxa" w:w="1800"/>
            <w:shd w:fill="FDF4DC" w:val="clear"/>
            <w:tcMar>
              <w:left w:type="dxa" w:w="80"/>
              <w:right w:type="dxa" w:w="80"/>
            </w:tcMar>
          </w:tcPr>
          <w:p>
            <w:pPr>
              <w:spacing w:after="24" w:before="24"/>
              <w:jc w:val="left"/>
            </w:pPr>
            <w:r>
              <w:rPr>
                <w:rFonts w:ascii="Arial" w:cs="Arial" w:eastAsia="Arial" w:hAnsi="Arial"/>
                <w:b w:val="false"/>
                <w:bCs w:val="false"/>
                <w:i w:val="false"/>
                <w:iCs w:val="false"/>
                <w:color w:val="222222"/>
                <w:sz w:val="19"/>
                <w:szCs w:val="19"/>
              </w:rPr>
              <w:t xml:space="preserve">✅</w:t>
            </w:r>
          </w:p>
        </w:tc>
      </w:tr>
    </w:tbl>
    <w:p>
      <w:pPr>
        <w:spacing w:after="0" w:before="0"/>
      </w:pPr>
    </w:p>
    <w:p>
      <w:pPr>
        <w:pStyle w:val="Heading1"/>
        <w:pBdr>
          <w:bottom w:val="single" w:color="B87333" w:sz="8" w:space="4"/>
        </w:pBdr>
        <w:spacing w:after="70" w:before="160" w:line="260"/>
      </w:pPr>
      <w:r>
        <w:rPr>
          <w:rFonts w:ascii="Arial" w:cs="Arial" w:eastAsia="Arial" w:hAnsi="Arial"/>
          <w:b/>
          <w:bCs/>
          <w:i w:val="false"/>
          <w:iCs w:val="false"/>
          <w:color w:val="7A4818"/>
          <w:sz w:val="26"/>
          <w:szCs w:val="26"/>
        </w:rPr>
        <w:t xml:space="preserve">Sık Yapılan Hatalar</w:t>
      </w:r>
    </w:p>
    <w:p>
      <w:pPr>
        <w:spacing w:after="28" w:before="28" w:line="252"/>
        <w:ind w:left="283"/>
      </w:pPr>
      <w:r>
        <w:rPr>
          <w:rFonts w:ascii="Arial" w:cs="Arial" w:eastAsia="Arial" w:hAnsi="Arial"/>
          <w:b w:val="false"/>
          <w:bCs w:val="false"/>
          <w:i w:val="false"/>
          <w:iCs w:val="false"/>
          <w:color w:val="333333"/>
          <w:sz w:val="20"/>
          <w:szCs w:val="20"/>
        </w:rPr>
        <w:t xml:space="preserve">▸  ΔT değerini gerçekçi girmemek: Büyük çaplarda ΔT=50°C girince c_eff negatif çıkar. Gerçek çalışma ısısını ölçün veya konservatif tahmin yapın.</w:t>
      </w:r>
    </w:p>
    <w:p>
      <w:pPr>
        <w:spacing w:after="28" w:before="28" w:line="252"/>
        <w:ind w:left="283"/>
      </w:pPr>
      <w:r>
        <w:rPr>
          <w:rFonts w:ascii="Arial" w:cs="Arial" w:eastAsia="Arial" w:hAnsi="Arial"/>
          <w:b w:val="false"/>
          <w:bCs w:val="false"/>
          <w:i w:val="false"/>
          <w:iCs w:val="false"/>
          <w:color w:val="333333"/>
          <w:sz w:val="20"/>
          <w:szCs w:val="20"/>
        </w:rPr>
        <w:t xml:space="preserve">▸  c ile c_min karıştırmak: Araçta "c" nominal tasarım boşluğunu ifade eder. Tolerans sapmalarından (es, ei, ES, EI) hesaplanan c_min farklı bir değerdir.</w:t>
      </w:r>
    </w:p>
    <w:p>
      <w:pPr>
        <w:spacing w:after="28" w:before="28" w:line="252"/>
        <w:ind w:left="283"/>
      </w:pPr>
      <w:r>
        <w:rPr>
          <w:rFonts w:ascii="Arial" w:cs="Arial" w:eastAsia="Arial" w:hAnsi="Arial"/>
          <w:b w:val="false"/>
          <w:bCs w:val="false"/>
          <w:i w:val="false"/>
          <w:iCs w:val="false"/>
          <w:color w:val="333333"/>
          <w:sz w:val="20"/>
          <w:szCs w:val="20"/>
        </w:rPr>
        <w:t xml:space="preserve">▸  Tolerans değerlerini mm yerine µm girmek: Araç mm bekler. Örn: es = −9 µm → −0.009 olarak girilmeli.</w:t>
      </w:r>
    </w:p>
    <w:p>
      <w:pPr>
        <w:spacing w:after="28" w:before="28" w:line="252"/>
        <w:ind w:left="283"/>
      </w:pPr>
      <w:r>
        <w:rPr>
          <w:rFonts w:ascii="Arial" w:cs="Arial" w:eastAsia="Arial" w:hAnsi="Arial"/>
          <w:b w:val="false"/>
          <w:bCs w:val="false"/>
          <w:i w:val="false"/>
          <w:iCs w:val="false"/>
          <w:color w:val="333333"/>
          <w:sz w:val="20"/>
          <w:szCs w:val="20"/>
        </w:rPr>
        <w:t xml:space="preserve">▸  Viskoziteyi sıfır bırakmak (kuru çalışma): η=0 girildiğinde S=0 → SINIR YAĞLAMAya düşer. Grafitli bronz bunu kaldırır — bu bir hata değil, normal durumdur.</w:t>
      </w:r>
    </w:p>
    <w:p>
      <w:pPr>
        <w:spacing w:after="28" w:before="28" w:line="252"/>
        <w:ind w:left="283"/>
      </w:pPr>
      <w:r>
        <w:rPr>
          <w:rFonts w:ascii="Arial" w:cs="Arial" w:eastAsia="Arial" w:hAnsi="Arial"/>
          <w:b w:val="false"/>
          <w:bCs w:val="false"/>
          <w:i w:val="false"/>
          <w:iCs w:val="false"/>
          <w:color w:val="333333"/>
          <w:sz w:val="20"/>
          <w:szCs w:val="20"/>
        </w:rPr>
        <w:t xml:space="preserve">▸  L/d &lt; 0.5 veya &gt; 2.0: Yatak geometrisi sınırlar dışında → kenar yüklemesi riski. Sarı uyarı çıkar.</w:t>
      </w:r>
    </w:p>
    <w:p>
      <w:pPr>
        <w:spacing w:after="0" w:before="0"/>
      </w:pPr>
    </w:p>
    <w:p>
      <w:pPr>
        <w:spacing w:after="40" w:before="80"/>
        <w:jc w:val="center"/>
      </w:pPr>
      <w:r>
        <w:rPr>
          <w:rFonts w:ascii="Arial" w:cs="Arial" w:eastAsia="Arial" w:hAnsi="Arial"/>
          <w:color w:val="CCCCCC"/>
          <w:sz w:val="16"/>
          <w:szCs w:val="16"/>
        </w:rPr>
        <w:t xml:space="preserve">────────────────────────────────────────────────────────────────────────────────</w:t>
      </w:r>
    </w:p>
    <w:p>
      <w:pPr>
        <w:spacing w:after="0" w:before="0"/>
        <w:jc w:val="center"/>
      </w:pPr>
      <w:r>
        <w:rPr>
          <w:rFonts w:ascii="Arial" w:cs="Arial" w:eastAsia="Arial" w:hAnsi="Arial"/>
          <w:b w:val="false"/>
          <w:bCs w:val="false"/>
          <w:i w:val="false"/>
          <w:iCs w:val="false"/>
          <w:color w:val="555555"/>
          <w:sz w:val="18"/>
          <w:szCs w:val="18"/>
        </w:rPr>
        <w:t xml:space="preserve">Teknik danışmanlık: </w:t>
      </w:r>
      <w:r>
        <w:rPr>
          <w:rFonts w:ascii="Arial" w:cs="Arial" w:eastAsia="Arial" w:hAnsi="Arial"/>
          <w:b/>
          <w:bCs/>
          <w:i w:val="false"/>
          <w:iCs w:val="false"/>
          <w:color w:val="7A4818"/>
          <w:sz w:val="18"/>
          <w:szCs w:val="18"/>
        </w:rPr>
        <w:t xml:space="preserve">+90 (542) 895 73 66  |  info@ozyigit.com  |  www.ozyigit.com</w:t>
      </w:r>
    </w:p>
    <w:sectPr>
      <w:headerReference w:type="default" r:id="rId7"/>
      <w:footerReference w:type="default" r:id="rId8"/>
      <w:pgSz w:w="11905" w:h="16837" w:orient="portrait"/>
      <w:pgMar w:top="1133" w:right="1020" w:bottom="1133" w:left="1247" w:header="453" w:footer="453"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87333" w:sz="6" w:space="3"/>
        <w:top w:val="single" w:sz="6" w:space="3" w:color="B87333"/>
      </w:pBdr>
      <w:spacing w:after="0" w:before="60"/>
      <w:jc w:val="center"/>
    </w:pPr>
    <w:r>
      <w:rPr>
        <w:rFonts w:ascii="Arial" w:cs="Arial" w:eastAsia="Arial" w:hAnsi="Arial"/>
        <w:color w:val="AAAAAA"/>
        <w:sz w:val="15"/>
        <w:szCs w:val="15"/>
      </w:rPr>
    </w:r>
    <w:r>
      <w:rPr>
        <w:rFonts w:ascii="Arial" w:hAnsi="Arial"/>
        <w:color w:val="AAAAAA"/>
        <w:sz w:val="15"/>
      </w:rPr>
      <w:t>ÖZYİĞİT Mühendislik  |  Pendik / İSTANBUL  |  +90 (542) 895 73 66  |  info@ozyigit.com  |  www.ozyigit.com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7333" w:sz="8" w:space="3"/>
        <w:bottom w:val="single" w:sz="10" w:space="3" w:color="B87333"/>
      </w:pBdr>
      <w:spacing w:after="60" w:before="0"/>
      <w:jc w:val="left"/>
    </w:pPr>
    <w:r>
      <w:rPr>
        <w:rFonts w:ascii="Arial" w:cs="Arial" w:eastAsia="Arial" w:hAnsi="Arial"/>
        <w:b/>
        <w:bCs/>
        <w:i/>
        <w:iCs/>
        <w:color w:val="CC0000"/>
        <w:sz w:val="24"/>
        <w:szCs w:val="24"/>
      </w:rPr>
    </w:r>
    <w:r>
      <w:rPr>
        <w:rFonts w:ascii="Arial" w:cs="Arial" w:eastAsia="Arial" w:hAnsi="Arial"/>
        <w:b/>
        <w:bCs/>
        <w:color w:val="003399"/>
        <w:sz w:val="20"/>
        <w:szCs w:val="20"/>
      </w:rPr>
    </w:r>
    <w:r>
      <w:rPr>
        <w:rFonts w:ascii="Arial" w:cs="Arial" w:eastAsia="Arial" w:hAnsi="Arial"/>
        <w:i/>
        <w:iCs/>
        <w:color w:val="555555"/>
        <w:sz w:val="17"/>
        <w:szCs w:val="17"/>
      </w:rPr>
    </w:r>
    <w:r>
      <w:rPr>
        <w:rFonts w:ascii="Arial" w:hAnsi="Arial"/>
        <w:b/>
        <w:i/>
        <w:color w:val="CC0000"/>
        <w:sz w:val="24"/>
      </w:rPr>
      <w:t>ÖZYİĞİT</w:t>
    </w:r>
    <w:r>
      <w:rPr>
        <w:rFonts w:ascii="Arial" w:hAnsi="Arial"/>
        <w:b/>
        <w:color w:val="003399"/>
        <w:sz w:val="20"/>
      </w:rPr>
      <w:t xml:space="preserve"> Mühendislik</w:t>
    </w:r>
    <w:r>
      <w:rPr>
        <w:rFonts w:ascii="Arial" w:hAnsi="Arial"/>
        <w:i/>
        <w:color w:val="555555"/>
        <w:sz w:val="17"/>
      </w:rPr>
      <w:t xml:space="preserve">   |   Grafitli Bronz Kendinden Yağlamalı Burç ve Kızak İmalatı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2026-07-27T17:02:01.295Z</dcterms:created>
  <dcterms:modified xsi:type="dcterms:W3CDTF">2026-07-27T17:02:01.307Z</dcterms:modified>
</cp:coreProperties>
</file>

<file path=docProps/custom.xml><?xml version="1.0" encoding="utf-8"?>
<Properties xmlns="http://schemas.openxmlformats.org/officeDocument/2006/custom-properties" xmlns:vt="http://schemas.openxmlformats.org/officeDocument/2006/docPropsVTypes"/>
</file>